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8B505" w14:textId="5E913A52" w:rsidR="00011B18" w:rsidRPr="005B7092" w:rsidRDefault="00011B18" w:rsidP="00011B18">
      <w:pPr>
        <w:shd w:val="clear" w:color="auto" w:fill="DBDBDB" w:themeFill="accent3" w:themeFillTint="66"/>
        <w:spacing w:line="240" w:lineRule="auto"/>
        <w:ind w:left="284" w:hanging="284"/>
        <w:jc w:val="both"/>
        <w:rPr>
          <w:b/>
          <w:sz w:val="24"/>
          <w:szCs w:val="24"/>
        </w:rPr>
      </w:pPr>
      <w:r>
        <w:rPr>
          <w:b/>
          <w:sz w:val="24"/>
          <w:szCs w:val="24"/>
        </w:rPr>
        <w:t xml:space="preserve">Γ.5 </w:t>
      </w:r>
      <w:r w:rsidRPr="005B7092">
        <w:rPr>
          <w:b/>
          <w:sz w:val="24"/>
          <w:szCs w:val="24"/>
        </w:rPr>
        <w:t>ΟΔΗΓΟΣ ΓΙΑ ΤΗΝ ΕΞΕΙΔΙΚΕΥΣΗ ΤΟΥ ΚΡΙΤΗΡΙΟΥ ΑΞΙΟΛΟΓΗΣΗΣ «ΕΞΑΣΦΑΛΙΣΗ ΤΗΣ ΠΡΟΣΒΑΣΙΜΟΤΗΤΑΣ ΣΤΑ ΑΤΟΜΑ ΜΕ ΑΝΑΠΗΡΙΑ»</w:t>
      </w:r>
    </w:p>
    <w:p w14:paraId="3E55746E" w14:textId="77777777" w:rsidR="00011B18" w:rsidRPr="000B681C" w:rsidRDefault="00011B18" w:rsidP="00011B18">
      <w:pPr>
        <w:spacing w:line="240" w:lineRule="auto"/>
        <w:jc w:val="both"/>
        <w:rPr>
          <w:rFonts w:cstheme="minorHAnsi"/>
          <w:bCs/>
        </w:rPr>
      </w:pPr>
      <w:r w:rsidRPr="000B681C">
        <w:rPr>
          <w:rFonts w:cstheme="minorHAnsi"/>
          <w:b/>
          <w:bCs/>
        </w:rPr>
        <w:t xml:space="preserve">Τήρηση των κανόνων για την εξασφάλιση προσβασιμότητας στα άτομα με αναπηρία </w:t>
      </w:r>
    </w:p>
    <w:p w14:paraId="6F608436" w14:textId="77777777" w:rsidR="00011B18" w:rsidRPr="000B681C" w:rsidRDefault="00011B18" w:rsidP="00011B18">
      <w:pPr>
        <w:spacing w:line="240" w:lineRule="auto"/>
        <w:jc w:val="both"/>
        <w:rPr>
          <w:rFonts w:cstheme="minorHAnsi"/>
          <w:bCs/>
        </w:rPr>
      </w:pPr>
      <w:r w:rsidRPr="000B681C">
        <w:rPr>
          <w:rFonts w:cstheme="minorHAnsi"/>
          <w:bCs/>
        </w:rPr>
        <w:t xml:space="preserve">Εξετάζεται ο τρόπος με τον οποίο η πράξη/ δράση ικανοποιεί τις απαιτήσεις προσβασιμότητας και τους κανόνες ασφαλείας για όλες τις κατηγορίες ατόμων με αναπηρία. </w:t>
      </w:r>
    </w:p>
    <w:p w14:paraId="64BD0D2B" w14:textId="77777777" w:rsidR="00011B18" w:rsidRPr="000B681C" w:rsidRDefault="00011B18" w:rsidP="00011B18">
      <w:pPr>
        <w:spacing w:line="240" w:lineRule="auto"/>
        <w:jc w:val="both"/>
        <w:rPr>
          <w:rFonts w:cstheme="minorHAnsi"/>
        </w:rPr>
      </w:pPr>
      <w:r w:rsidRPr="000B681C">
        <w:rPr>
          <w:rFonts w:cstheme="minorHAnsi"/>
        </w:rPr>
        <w:t xml:space="preserve">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 </w:t>
      </w:r>
    </w:p>
    <w:p w14:paraId="43AF06B5" w14:textId="77777777" w:rsidR="00011B18" w:rsidRPr="000B681C" w:rsidRDefault="00011B18" w:rsidP="00011B18">
      <w:pPr>
        <w:tabs>
          <w:tab w:val="left" w:pos="426"/>
        </w:tabs>
        <w:spacing w:before="120" w:after="120" w:line="240" w:lineRule="auto"/>
        <w:ind w:left="284" w:hanging="284"/>
        <w:jc w:val="both"/>
        <w:rPr>
          <w:rFonts w:cstheme="minorHAnsi"/>
          <w:b/>
        </w:rPr>
      </w:pPr>
      <w:r w:rsidRPr="000B681C">
        <w:rPr>
          <w:rFonts w:cstheme="minorHAnsi"/>
          <w:b/>
        </w:rPr>
        <w:t xml:space="preserve">(Α) Πρόσβαση στο φυσικό περιβάλλον και τους εξωτερικούς χώρους συμπεριλαμβανομένων αρχαιολογικών χώρων, παραλιών, χώρων πρασίνου, αλσών κ.λπ. </w:t>
      </w:r>
    </w:p>
    <w:p w14:paraId="2CA130A9"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(1) πρόβλεψη οριζόντιας ή/και κατακόρυφης προσβασιμότητας (π.χ. προσβάσιμες διαδρομές, ‘οδηγοί τυφλών’, ράμπες/’σκάφες’, αναβατόρια κ.λπ.) </w:t>
      </w:r>
    </w:p>
    <w:p w14:paraId="3ED4943E"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(2) πρόβλεψη προσβάσιμων εξοπλισμών/εγκαταστάσεων για χρήση κοινού (π.χ. παιδικές χαρές, καθιστικά, εξοπλισμοί παραλιών, αποδυτήρια, χώροι υγιεινής, παρατηρητήρια πουλιών κ.λπ.) </w:t>
      </w:r>
    </w:p>
    <w:p w14:paraId="7C47E7FC"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(3) πρόβλεψη σήμανσης σε προσβάσιμες μορφές (έντονο κοντράστ-μεγάλοι χαρακτήρες, εικονίδια, γραφή Braille, ηχητική και οπτική σήμανση κ.λπ.) </w:t>
      </w:r>
    </w:p>
    <w:p w14:paraId="6D9BAA1A"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(Β) Πρόσβαση στις κτιριακές υποδομές και υπαίθριους χώρους οικοπέδων </w:t>
      </w:r>
    </w:p>
    <w:p w14:paraId="07D99585"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(1) 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149BC59"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(2) πρόβλεψη κατακόρυφης προσβασιμότητας (ανελκυστήρας/ αναβατόριο, κλιμακοστάσιο κ.λπ.) </w:t>
      </w:r>
    </w:p>
    <w:p w14:paraId="44CB828A"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(3) πρόβλεψη προσβάσιμων χώρων υγιεινής </w:t>
      </w:r>
    </w:p>
    <w:p w14:paraId="4E5BCAAA"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(4) πρόβλεψη χώρων αναμονής σε περίπτωση κινδύνου και διαδικασιών διαφυγής προσαρμοσμένων στις ανάγκες των ατόμων με αναπηρία </w:t>
      </w:r>
    </w:p>
    <w:p w14:paraId="327AB021"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(5) πρόβλεψη σήμανσης σε προσβάσιμες μορφές (έντονο κοντράστ-μεγάλοι χαρακτήρες, εικονίδια, γραφή Braille, ηχητική και οπτική σήμανση κ.λπ.) </w:t>
      </w:r>
    </w:p>
    <w:p w14:paraId="27C3A9B2"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(6) πρόβλεψη προσβάσιμων εξοπλισμών (χαμηλά γκισέ, προσβάσιμες οθόνες πληροφοριών κ.λπ.) </w:t>
      </w:r>
    </w:p>
    <w:p w14:paraId="1851E4FD"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(Γ) Πρόσβαση στις μεταφορές </w:t>
      </w:r>
    </w:p>
    <w:p w14:paraId="18CA70CA"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(1) πρόβλεψη προσβασιμότητας σταθμών/στάσεων επιβατών (βλ. περίπτωση Β - “Πρόσβαση σε κτιριακές υποδομές και υπαίθριους χώρους οικοπέδων”) </w:t>
      </w:r>
    </w:p>
    <w:p w14:paraId="2955B5AC"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58275B7A"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(3) πρόβλεψη προσβάσιμου εξοπλισμού (μηχανήματα έκδοσης εισιτηρίων, οπτική και ηχητική πληροφόρηση κοινού, τηλεματικές εφαρμογές, ιστοσελίδες κ.λπ.) </w:t>
      </w:r>
    </w:p>
    <w:p w14:paraId="78ED48E9"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(4) πρόβλεψη προσβάσιμων διαδικασιών (π.χ. προσβάσιμη υπηρεσία εξυπηρέτησης ατόμων με αναπηρία και ατόμων μειωμένης κινητικότητας, προσβάσιμες διαδικασίες </w:t>
      </w:r>
      <w:r w:rsidRPr="000B681C">
        <w:rPr>
          <w:rFonts w:cstheme="minorHAnsi"/>
          <w:bCs/>
        </w:rPr>
        <w:lastRenderedPageBreak/>
        <w:t xml:space="preserve">έκδοσης εισιτηρίων, διαδικασίες εκτάκτων αναγκών προσαρμοσμένες στις ανάγκες των ατόμων με αναπηρία κ.λπ.) </w:t>
      </w:r>
    </w:p>
    <w:p w14:paraId="4212FA92"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(Δ) Πρόσβαση στις υπηρεσίες </w:t>
      </w:r>
    </w:p>
    <w:p w14:paraId="6D238A7A"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(1) δυνατότητα χρήσης της υπηρεσίας αυτόνομα από άτομα με αναπηρία (π.χ. από 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SMS/ e-mail/ τηλέφωνου κ.λπ.) ή/και πρόβλεψη ‘ζωντανής βοήθειας και ενδιαμέσων’ (πχ. διερμηνείας στη νοηματική, συνοδείας τυφλών ατόμων κ.λπ.) </w:t>
      </w:r>
    </w:p>
    <w:p w14:paraId="0784698D"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(2) 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 </w:t>
      </w:r>
    </w:p>
    <w:p w14:paraId="7DD20A2E"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(Ε) Πρόσβαση στα ηλεκτρονικά περιβάλλοντα </w:t>
      </w:r>
    </w:p>
    <w:p w14:paraId="7DDD7D3E"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(1) Σε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 </w:t>
      </w:r>
    </w:p>
    <w:p w14:paraId="351AC183"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Πιο συγκεκριμένα, απαιτείται η συμμόρφωση με τα όσα ορίζονται σχετικώς στο Ευρωπαϊκό Εναρμονισμένο Πρότυπο EN 301 549 (βλ. Κεφάλαιο 9), όπως αντικαθίσταται και ισχύει κάθε φορά, γεγονός που συνεπάγεται, μεταξύ άλλων, την πλήρη συμμόρφωση με τις Οδηγίες για την Προσβασιμότητα του Περιεχομένου του Ιστού, έκδοση 2.1 (Web Content Accessibility Guidelines 2.1) του Διεθνή Οργανισμού World Wide Web Consortium (W3C), κατ’ ελάχιστο στο μεσαίο επίπεδο προσβασιμότητας "ΑΑ”. Επισημαίνεται ότι για τις ειδικές περιπτώσεις ιστότοπων και εφαρμογών για φορητές συσκευές που απευθύνονται ειδικά σε άτομα με αναπηρία, απαιτείται συμμόρφωση με τις ως άνω Οδηγίες στο ανώτατο επίπεδο προσβασιμότητας “ΑΑΑ”. Επιπλέον, ειδική μέριμνα απαιτείται για τη συμμόρφωση του περιεχομένου που αναρτάται προς μετάπτωση (non-web documents)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 </w:t>
      </w:r>
    </w:p>
    <w:p w14:paraId="5E7EA085"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(2) Στην περίπτωση διαδικτυακών τόπων ή των διαδικτυακών εφαρμογών και υπηρεσιών που προορίζονται για χρήση κυρίως μέσω κινητών και φορητών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 Practices 1.0) του W3C </w:t>
      </w:r>
    </w:p>
    <w:p w14:paraId="3AE0F7AB"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lastRenderedPageBreak/>
        <w:t xml:space="preserve">(3) Σε περίπτωση λογισμικού user 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Agents, έκδοση 2.0 (User Agent Accessibility Guidelines 2.0) του W3C </w:t>
      </w:r>
    </w:p>
    <w:p w14:paraId="638A1D6E"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(4) Σε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 Tool Accessibility Guidelines 2.0) του W3C </w:t>
      </w:r>
    </w:p>
    <w:p w14:paraId="4497FBA6"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(5) Σε περίπτωση τεχνολογικών λύσεων και προϊόντων που δεν εμπίπτουν στην κατηγορία διαδικτυακών τόπων ή διαδικτυακών εφαρμογών και υπηρεσιών (π.χ. υλικό/hardware, αυτόματοι πωλητές, κιόσκια πληροφόρησης κ.λπ.) είναι απαραίτητη η σχεδίασή τους βάσει των αρχών του «Καθολικού Σχεδιασμού» όπως αποτυπώνονται στο Ευρωπαϊκό Εναρμονισμένο Πρότυπο EN 301 549 (βλ. Κεφάλαια 4-8 και 11-13), όπως αντικαθίσταται και ισχύει κάθε φορά. </w:t>
      </w:r>
    </w:p>
    <w:p w14:paraId="159DDE5B" w14:textId="77777777" w:rsidR="00011B18" w:rsidRPr="000B681C" w:rsidRDefault="00011B18" w:rsidP="00011B18">
      <w:pPr>
        <w:spacing w:after="0" w:line="240" w:lineRule="auto"/>
        <w:ind w:left="568" w:hanging="284"/>
        <w:jc w:val="both"/>
        <w:rPr>
          <w:rFonts w:cstheme="minorHAnsi"/>
          <w:bCs/>
        </w:rPr>
      </w:pPr>
      <w:r w:rsidRPr="000B681C">
        <w:rPr>
          <w:rFonts w:cstheme="minorHAnsi"/>
          <w:bCs/>
        </w:rPr>
        <w:t xml:space="preserve">(6)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άτομα με αναπηρία (π.χ. αναγνώστες οθόνης, ειδικοί διακόπτες και συστήματα αλληλεπίδρασης, μεγεθυντές οθόνης). </w:t>
      </w:r>
    </w:p>
    <w:p w14:paraId="646814BC"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(ΣΤ) Πρόσβαση στην πληροφορία -πληροφόρηση και εκδηλώσεις </w:t>
      </w:r>
    </w:p>
    <w:p w14:paraId="07F05BAC" w14:textId="77777777" w:rsidR="00011B18" w:rsidRPr="00CA1D33" w:rsidRDefault="00011B18" w:rsidP="00011B18">
      <w:pPr>
        <w:pStyle w:val="a6"/>
        <w:numPr>
          <w:ilvl w:val="0"/>
          <w:numId w:val="1"/>
        </w:numPr>
        <w:spacing w:line="240" w:lineRule="auto"/>
        <w:jc w:val="both"/>
        <w:rPr>
          <w:rFonts w:cstheme="minorHAnsi"/>
          <w:bCs/>
        </w:rPr>
      </w:pPr>
      <w:r w:rsidRPr="00CA1D33">
        <w:rPr>
          <w:rFonts w:cstheme="minorHAnsi"/>
          <w:bCs/>
        </w:rPr>
        <w:t xml:space="preserve">πρόβλεψη προσβάσιμων μορφών διάδοσης πληροφορίας - πληροφόρησης (όπως 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κ.λπ.) </w:t>
      </w:r>
    </w:p>
    <w:p w14:paraId="2AF99420" w14:textId="77777777" w:rsidR="00011B18" w:rsidRPr="00CA1D33" w:rsidRDefault="00011B18" w:rsidP="00011B18">
      <w:pPr>
        <w:pStyle w:val="a6"/>
        <w:numPr>
          <w:ilvl w:val="0"/>
          <w:numId w:val="1"/>
        </w:numPr>
        <w:spacing w:line="240" w:lineRule="auto"/>
        <w:jc w:val="both"/>
        <w:rPr>
          <w:rFonts w:cstheme="minorHAnsi"/>
          <w:bCs/>
        </w:rPr>
      </w:pPr>
      <w:r w:rsidRPr="00CA1D33">
        <w:rPr>
          <w:rFonts w:cstheme="minorHAnsi"/>
          <w:bCs/>
        </w:rPr>
        <w:t xml:space="preserve">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διερμηνείας στη νοηματική κ.λπ. </w:t>
      </w:r>
    </w:p>
    <w:p w14:paraId="43B463C5" w14:textId="77777777" w:rsidR="00011B18" w:rsidRPr="000B681C" w:rsidRDefault="00011B18" w:rsidP="00011B18">
      <w:pPr>
        <w:spacing w:line="240" w:lineRule="auto"/>
        <w:jc w:val="both"/>
        <w:rPr>
          <w:rFonts w:cstheme="minorHAnsi"/>
          <w:bCs/>
        </w:rPr>
      </w:pPr>
      <w:r w:rsidRPr="000B681C">
        <w:rPr>
          <w:rFonts w:cstheme="minorHAnsi"/>
          <w:b/>
          <w:bCs/>
        </w:rPr>
        <w:t xml:space="preserve">Σχετικό θεσμικό πλαίσιο και πρότυπα για την προσβασιμότητα σε άτομα με αναπηρία </w:t>
      </w:r>
    </w:p>
    <w:p w14:paraId="7A6455BA" w14:textId="77777777" w:rsidR="00011B18" w:rsidRPr="000B681C" w:rsidRDefault="00011B18" w:rsidP="00011B18">
      <w:pPr>
        <w:spacing w:line="240" w:lineRule="auto"/>
        <w:jc w:val="both"/>
        <w:rPr>
          <w:rFonts w:cstheme="minorHAnsi"/>
          <w:bCs/>
        </w:rPr>
      </w:pPr>
      <w:r w:rsidRPr="000B681C">
        <w:rPr>
          <w:rFonts w:cstheme="minorHAnsi"/>
          <w:bCs/>
        </w:rPr>
        <w:t xml:space="preserve">Οι παρακάτω αναφορές αφορούν στο </w:t>
      </w:r>
      <w:r w:rsidRPr="000B681C">
        <w:rPr>
          <w:rFonts w:cstheme="minorHAnsi"/>
          <w:b/>
          <w:bCs/>
        </w:rPr>
        <w:t xml:space="preserve">βασικό </w:t>
      </w:r>
      <w:r w:rsidRPr="000B681C">
        <w:rPr>
          <w:rFonts w:cstheme="minorHAnsi"/>
          <w:bCs/>
        </w:rPr>
        <w:t xml:space="preserve">ισχύον θεσμικό πλαίσιο, το οποίο ανάλογα με τη φύση της πράξης ισχύει ταυτόχρονα με τυχόν ισχύον </w:t>
      </w:r>
      <w:r w:rsidRPr="000B681C">
        <w:rPr>
          <w:rFonts w:cstheme="minorHAnsi"/>
          <w:b/>
          <w:bCs/>
        </w:rPr>
        <w:t xml:space="preserve">ειδικό </w:t>
      </w:r>
      <w:r w:rsidRPr="000B681C">
        <w:rPr>
          <w:rFonts w:cstheme="minorHAnsi"/>
          <w:bCs/>
        </w:rPr>
        <w:t xml:space="preserve">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 </w:t>
      </w:r>
    </w:p>
    <w:p w14:paraId="7639C69D"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(Α) Πρόσβαση στο φυσικό περιβάλλον </w:t>
      </w:r>
    </w:p>
    <w:p w14:paraId="21857397"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Α.1. Ν. 4074/2012 (Α’ 88) “Κύρωση της Σύμβασης για τα δικαιώματα των ατόμων με αναπηρίες και του Προαιρετικού Πρωτοκόλλου στη Σύμβαση για τα δικαιώματα των ατόμων με αναπηρίες”. </w:t>
      </w:r>
    </w:p>
    <w:p w14:paraId="17B039C1"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Α.2. Ν. 4488/2017 (Α’ 137)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 ΜΕΡΟΣ Δ’. </w:t>
      </w:r>
    </w:p>
    <w:p w14:paraId="5EA4690B"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Α.3 Ν. 4067/2012 (Α’ 79) “ΝΟΚ” όπως τροποποιήθηκε από τους ν. 4759/2020 και ν. 4782/2021 και ισχύει σήμερα. </w:t>
      </w:r>
    </w:p>
    <w:p w14:paraId="645EB338"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lastRenderedPageBreak/>
        <w:t xml:space="preserve">Α.4. Οδηγίες Σχεδιασμού ΥΠΕΝ «Σχεδιάζοντας για όλους». </w:t>
      </w:r>
    </w:p>
    <w:p w14:paraId="200E5E96"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Α.5 ΥΠΕΝ/ΔΜΕΑΑΠ/110088/887/2021 (Β’ 5553) Προδιαγραφές, όροι και τεχνικές οδηγίες για την εκπόνηση «Σχεδίου Αστικής Προσβασιμότητας (Σ.Α.Π.)». </w:t>
      </w:r>
    </w:p>
    <w:p w14:paraId="624F61E7"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Α.6. Απόφαση ΥΠΕΝ/ΔΜΕΑΑΠ/99709/796/2021 (Β’ 5045) Τεχνικές Προδιαγραφές Μελέτης Προσβασιμότητας. </w:t>
      </w:r>
    </w:p>
    <w:p w14:paraId="1A6BCAB7"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Α.7. Απόφαση ΥΠΕΝ/ΔΕΣΕΔΠ/65826/699/2020 (Β’ 2998)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 </w:t>
      </w:r>
    </w:p>
    <w:p w14:paraId="344C8242"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Α.8. Απόφαση ΥΠΕΚΑ 52907/2009 (Β’ 2621) “Ειδικές ρυθμίσεις για την εξυπηρέτηση ατόμων με αναπηρία σε κοινόχρηστους χώρους των οικισμών που προορίζονται για την κυκλοφορία πεζών”. </w:t>
      </w:r>
    </w:p>
    <w:p w14:paraId="762DE528"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Α.9. Απόφαση ΥΠ.ΕΣΩΤΕΡΙΚΩΝ ΚΑΙ ΟΙΚΟΝΟΜΙΚΩΝ 1052758/1451/Β0010 (1)/2012 (Β’ 1411) “Συμπλήρωση της υπ’ αριθ. 1038460/2439/Β0010/15−4−2009 (ΦΕΚ 792 Β΄) κοινής απόφασης των Υπουργών Οικονομίας και Οικονομικών και Εσωτερικών”, </w:t>
      </w:r>
    </w:p>
    <w:p w14:paraId="59BD1ECC"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Α.10 Απόφαση ΥΠ.ΕΣΩΤΕΡΙΚΩΝ αριθ. 28492/2009 (Β’ 931)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 </w:t>
      </w:r>
    </w:p>
    <w:p w14:paraId="47536E45"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Α.11. Αριθ. 151344/165/2017 (Β’ 206) Καθορισμός τεχνικών προδιαγραφών χάραξης, σήμανσης, διάνοιξης και συντήρησης των ορειβατικών - πεζοπορικών μονοπατιών. 4 </w:t>
      </w:r>
    </w:p>
    <w:p w14:paraId="66BA3810"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(Β) Πρόσβαση στις κτιριακές υποδομές και υπαίθριους χώρους οικοπέδων </w:t>
      </w:r>
    </w:p>
    <w:p w14:paraId="1105A657"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Β.1. Ν.4074/2012 (Α’ 88) “Κύρωση της Σύμβασης για τα δικαιώματα των ατόμων με αναπηρίες και του Προαιρετικού Πρωτοκόλλου στη Σύμβαση για τα δικαιώματα των ατόμων με αναπηρίες”. </w:t>
      </w:r>
    </w:p>
    <w:p w14:paraId="20CB19FF"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Β.2. Ν.4488/2017 (Α’ 137)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 ΜΕΡΟΣ Δ’. </w:t>
      </w:r>
    </w:p>
    <w:p w14:paraId="2AB0FC91"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Β.3. Ν. 4067/2012 (Α’ 79) “ΝΟΚ” όπως τροποποιήθηκε από τους ν. 4759/2020 και ν. 4782/2021 και ισχύει σήμερα. </w:t>
      </w:r>
    </w:p>
    <w:p w14:paraId="62D6119A"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Β.4. Οδηγίες Σχεδιασμού ΥΠΕΝ «Σχεδιάζοντας για όλους». </w:t>
      </w:r>
    </w:p>
    <w:p w14:paraId="496E335C"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Β.5. ΥΠΕΝ/ΔΜΕΑΑΠ/110088/887/2021 (Β’ 5553) Προδιαγραφές, όροι και τεχνικές οδηγίες για την εκπόνηση «Σχεδίου Αστικής Προσβασιμότητας (Σ.Α.Π.)». </w:t>
      </w:r>
    </w:p>
    <w:p w14:paraId="23B53846"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Β.6. Απόφαση ΥΠΕΝ/ΔΜΕΑΑΠ/99709/796/2021 (Β’ 5045) Τεχνικές Προδιαγραφές Μελέτης Προσβασιμότητας. </w:t>
      </w:r>
    </w:p>
    <w:p w14:paraId="7A3CA5D3"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Β.7. Απόφαση ΥΠΕΝ/ΔΕΣΕΔΠ/65826/699/2020 (Β’ 2998)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 </w:t>
      </w:r>
    </w:p>
    <w:p w14:paraId="03B28C0A"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Β.8. Απόφαση ΥΠΕΚΑ 52907/2009 (Β’ 2621) “Ειδικές ρυθμίσεις για την εξυπηρέτηση ατόμων με αναπηρία σε κοινόχρηστους χώρους των οικισμών που προορίζονται για την κυκλοφορία πεζών”, </w:t>
      </w:r>
    </w:p>
    <w:p w14:paraId="73B2FCD3"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(Γ) Πρόσβαση στις μεταφορές </w:t>
      </w:r>
    </w:p>
    <w:p w14:paraId="349A1666"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Γ.1. Ν.4074/2012 (Α’ 88) “Κύρωση της Σύμβασης για τα δικαιώματα των ατόμων με αναπηρίες και του Προαιρετικού Πρωτοκόλλου στη Σύμβαση για τα δικαιώματα των ατόμων με αναπηρίες”. </w:t>
      </w:r>
    </w:p>
    <w:p w14:paraId="165A28B0"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lastRenderedPageBreak/>
        <w:t xml:space="preserve">Γ.2. Ν.4488/2017 (Α’ 137)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 ΜΕΡΟΣ Δ’. </w:t>
      </w:r>
    </w:p>
    <w:p w14:paraId="1BD7B56A"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Γ.3. Κανονισμοί (ΕΕ) με αρ. 1107/2006, 1371/2007, 1177/2010 και 181/2011 για τα δικαιώματα των επιβατών. </w:t>
      </w:r>
    </w:p>
    <w:p w14:paraId="3D57764E"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Γ.4. Κανονισμός (EE) με αρ.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άτομα με αναπηρία και άτομα με μειωμένη κινητικότητα. </w:t>
      </w:r>
    </w:p>
    <w:p w14:paraId="5F625D29"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Γ.5. N. 4784/2021 (Α’ 40) Η Ελλάδα σε κίνηση: Βιώσιμη Αστική Κινητικότητα - Μικροκινητικότητα - Ρυθμίσεις για τον εκσυγχρονισμό, την απλούστευση και την ψηφιοποίηση διαδικασιών του Υπουργείου Υποδομών και Μεταφορών και άλλες διατάξεις. </w:t>
      </w:r>
    </w:p>
    <w:p w14:paraId="5B9CCB07"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Γ.6. Ν. 4067/2012 (Α’ 79) “ΝΟΚ” όπως τροποποιήθηκε από τους ν. 4759/2020 και ν. 4782/2021 και ισχύει σήμερα. </w:t>
      </w:r>
    </w:p>
    <w:p w14:paraId="2925C348"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Γ.7. Οδηγίες Σχεδιασμού ΥΠΕΝ «Σχεδιάζοντας για όλους». </w:t>
      </w:r>
    </w:p>
    <w:p w14:paraId="28C15EAD"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Γ.8. Απόφαση ΥΠΕΝ/ΔΜΕΑΑΠ/99709/796/2021 (Β’ 5045) Τεχνικές Προδιαγραφές Μελέτης Προσβασιμότητας. </w:t>
      </w:r>
    </w:p>
    <w:p w14:paraId="1D59CB32"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Γ.9. Απόφαση ΥΠΕΝ/ΔΕΣΕΔΠ/65826/699/2020 (Β’ 2998)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 </w:t>
      </w:r>
    </w:p>
    <w:p w14:paraId="18D5076C" w14:textId="77777777" w:rsidR="00011B18" w:rsidRPr="000B681C" w:rsidRDefault="00011B18" w:rsidP="00011B18">
      <w:pPr>
        <w:spacing w:after="0" w:line="240" w:lineRule="auto"/>
        <w:ind w:left="426" w:hanging="426"/>
        <w:jc w:val="both"/>
        <w:rPr>
          <w:rFonts w:cstheme="minorHAnsi"/>
          <w:bCs/>
        </w:rPr>
      </w:pPr>
      <w:r w:rsidRPr="000B681C">
        <w:rPr>
          <w:rFonts w:cstheme="minorHAnsi"/>
          <w:bCs/>
        </w:rPr>
        <w:t xml:space="preserve">Γ.10. Απόφαση αριθ. 42863/438/2019 (Β’ 2040) Καθορισμός των όρων, των προϋποθέσεων και των τεχνικών προδιαγραφών για την εγκατάσταση συσκευών φόρτισης συσσωρευτών ηλεκτροκίνητων οχημάτων (σημεία επαναφόρτισης), στις εγκαταστάσεις εξυπηρέτησης οχημάτων, σε δημοσίως 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 5 </w:t>
      </w:r>
    </w:p>
    <w:p w14:paraId="3F8A6DEF"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(Δ) Πρόσβαση στις υπηρεσίες: </w:t>
      </w:r>
    </w:p>
    <w:p w14:paraId="3CA85067" w14:textId="77777777" w:rsidR="00011B18" w:rsidRPr="000B681C" w:rsidRDefault="00011B18" w:rsidP="00011B18">
      <w:pPr>
        <w:spacing w:line="240" w:lineRule="auto"/>
        <w:ind w:left="426" w:hanging="426"/>
        <w:jc w:val="both"/>
        <w:rPr>
          <w:rFonts w:cstheme="minorHAnsi"/>
          <w:bCs/>
        </w:rPr>
      </w:pPr>
      <w:r w:rsidRPr="000B681C">
        <w:rPr>
          <w:rFonts w:cstheme="minorHAnsi"/>
          <w:bCs/>
        </w:rPr>
        <w:t xml:space="preserve">Δ.1. Ν.4074/2012 (Α’ 88) “Κύρωση της Σύμβασης για τα δικαιώματα των ατόμων με αναπηρίες και του Προαιρετικού Πρωτοκόλλου στη Σύμβαση για τα δικαιώματα των ατόμων με αναπηρίες”. </w:t>
      </w:r>
    </w:p>
    <w:p w14:paraId="20214C72" w14:textId="77777777" w:rsidR="00011B18" w:rsidRPr="000B681C" w:rsidRDefault="00011B18" w:rsidP="00011B18">
      <w:pPr>
        <w:spacing w:line="240" w:lineRule="auto"/>
        <w:ind w:left="426" w:hanging="426"/>
        <w:jc w:val="both"/>
        <w:rPr>
          <w:rFonts w:cstheme="minorHAnsi"/>
          <w:bCs/>
        </w:rPr>
      </w:pPr>
      <w:r w:rsidRPr="000B681C">
        <w:rPr>
          <w:rFonts w:cstheme="minorHAnsi"/>
          <w:bCs/>
        </w:rPr>
        <w:t xml:space="preserve">Δ.2. Ν. 4488/2017 (Α’ 137)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 ΜΕΡΟΣ Δ’. </w:t>
      </w:r>
    </w:p>
    <w:p w14:paraId="387E80C4" w14:textId="77777777" w:rsidR="00011B18" w:rsidRPr="000B681C" w:rsidRDefault="00011B18" w:rsidP="00011B18">
      <w:pPr>
        <w:spacing w:line="240" w:lineRule="auto"/>
        <w:ind w:left="426" w:hanging="426"/>
        <w:jc w:val="both"/>
        <w:rPr>
          <w:rFonts w:cstheme="minorHAnsi"/>
          <w:bCs/>
        </w:rPr>
      </w:pPr>
      <w:r w:rsidRPr="000B681C">
        <w:rPr>
          <w:rFonts w:cstheme="minorHAnsi"/>
          <w:bCs/>
        </w:rPr>
        <w:t xml:space="preserve">Δ.3. Πρότυπο ΕΛΟΤ 1439 “Οργανισμός φιλικός σε πολίτες με αναπηρία –Απαιτήσεις και συστάσεις” (προαιρετικά). </w:t>
      </w:r>
    </w:p>
    <w:p w14:paraId="681EA063"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(Ε) Πρόσβαση στα ηλεκτρονικά περιβάλλοντα </w:t>
      </w:r>
    </w:p>
    <w:p w14:paraId="79FBF737"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Ε.1. Ν.4074/2012 (Α’ 88) “Κύρωση της Σύμβασης για τα δικαιώματα των ατόμων με αναπηρίες και του Προαιρετικού Πρωτοκόλλου στη Σύμβαση για τα δικαιώματα των ατόμων με αναπηρίες”. </w:t>
      </w:r>
    </w:p>
    <w:p w14:paraId="5247DF7B"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Ε.2. Ν.4488/2017 (Α’ 137)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 ΜΕΡΟΣ Δ’. </w:t>
      </w:r>
    </w:p>
    <w:p w14:paraId="2A555E1B"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lastRenderedPageBreak/>
        <w:t xml:space="preserve">Ε.3 Ν.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p>
    <w:p w14:paraId="28080548"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Ε.4. Αριθ. ΥΑΠ/Φ.40.4/1/989/2012 (Β’ 1301) “Κύρωση Πλαισίου Παροχής Υπηρεσιών Ηλεκτρονικής Διακυβέρνησης”. </w:t>
      </w:r>
    </w:p>
    <w:p w14:paraId="56BF5BF8"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Ε.5. Οδηγίες για την Προσβασιμότητα του Περιεχομένου του Ιστού WCAG 2.1 ((Web Content Accessibility Guidelines (WCAG) 2.1 (w3.org). </w:t>
      </w:r>
    </w:p>
    <w:p w14:paraId="06381782"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Ε.6. Βέλτιστες Πρακτικές για Χρήση Διαδικτυακού Περιεχομένου από Κινητές Συσκευές, έκδοση 1.0 (http://www.w3.org/TR/mobile-bp/ - Αγγλικά). </w:t>
      </w:r>
    </w:p>
    <w:p w14:paraId="30EA849C"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Ε.7. Οδηγίες Προσβασιμότητας για User Agents UAAG 2.0 (http://www.w3.org/TR/UAAG20/ - Αγγλικά). </w:t>
      </w:r>
    </w:p>
    <w:p w14:paraId="2FEE18DC"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Ε.8. Οδηγίες Προσβασιμότητας για Συγγραφή Περιεχομένου Ιστού ΑΤAG 2.0 (http://www.w3.org/TR/ATAG20/ - Αγγλικά). </w:t>
      </w:r>
    </w:p>
    <w:p w14:paraId="5C3C6EA3" w14:textId="77777777" w:rsidR="00011B18" w:rsidRPr="000B681C" w:rsidRDefault="00011B18" w:rsidP="00011B18">
      <w:pPr>
        <w:spacing w:before="120" w:after="120" w:line="240" w:lineRule="auto"/>
        <w:jc w:val="both"/>
        <w:rPr>
          <w:rFonts w:cstheme="minorHAnsi"/>
          <w:b/>
        </w:rPr>
      </w:pPr>
      <w:r w:rsidRPr="000B681C">
        <w:rPr>
          <w:rFonts w:cstheme="minorHAnsi"/>
          <w:b/>
        </w:rPr>
        <w:t xml:space="preserve">(ΣΤ) Πρόσβαση στην πληροφορία -πληροφόρηση και εκδηλώσεις </w:t>
      </w:r>
    </w:p>
    <w:p w14:paraId="156D3E55"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 xml:space="preserve">ΣΤ.1. Ν.4074/2012 (Α’ 88) “Κύρωση της Σύμβασης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Σύμβασης. </w:t>
      </w:r>
    </w:p>
    <w:p w14:paraId="1AFCF190" w14:textId="77777777" w:rsidR="00011B18" w:rsidRPr="000B681C" w:rsidRDefault="00011B18" w:rsidP="00011B18">
      <w:pPr>
        <w:spacing w:after="0" w:line="240" w:lineRule="auto"/>
        <w:ind w:left="425" w:hanging="425"/>
        <w:jc w:val="both"/>
        <w:rPr>
          <w:rFonts w:cstheme="minorHAnsi"/>
          <w:bCs/>
        </w:rPr>
      </w:pPr>
      <w:r w:rsidRPr="000B681C">
        <w:rPr>
          <w:rFonts w:cstheme="minorHAnsi"/>
          <w:bCs/>
        </w:rPr>
        <w:t>Στ.2. Ν.4488/2017 (Α’ 137)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026ACC4A" w14:textId="77777777" w:rsidR="00011B18" w:rsidRDefault="00011B18"/>
    <w:sectPr w:rsidR="00011B1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4E064" w14:textId="77777777" w:rsidR="00011B18" w:rsidRDefault="00011B18" w:rsidP="00011B18">
      <w:pPr>
        <w:spacing w:after="0" w:line="240" w:lineRule="auto"/>
      </w:pPr>
      <w:r>
        <w:separator/>
      </w:r>
    </w:p>
  </w:endnote>
  <w:endnote w:type="continuationSeparator" w:id="0">
    <w:p w14:paraId="0AB80040" w14:textId="77777777" w:rsidR="00011B18" w:rsidRDefault="00011B18" w:rsidP="00011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DD47D" w14:textId="77777777" w:rsidR="00B13F12" w:rsidRDefault="00B13F12">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0417D" w14:textId="42005089" w:rsidR="00011B18" w:rsidRPr="00011B18" w:rsidRDefault="00011B18" w:rsidP="00011B18">
    <w:pPr>
      <w:pBdr>
        <w:top w:val="single" w:sz="4" w:space="1" w:color="auto"/>
      </w:pBdr>
      <w:tabs>
        <w:tab w:val="left" w:pos="1560"/>
      </w:tabs>
      <w:rPr>
        <w:rFonts w:cstheme="minorHAnsi"/>
        <w:b/>
        <w:bCs/>
        <w:color w:val="44546A" w:themeColor="text2"/>
        <w:sz w:val="16"/>
        <w:szCs w:val="16"/>
      </w:rPr>
    </w:pPr>
    <w:r w:rsidRPr="00B13F12">
      <w:rPr>
        <w:rFonts w:cstheme="minorHAnsi"/>
        <w:b/>
        <w:bCs/>
        <w:color w:val="44546A" w:themeColor="text2"/>
        <w:sz w:val="16"/>
        <w:szCs w:val="16"/>
      </w:rPr>
      <w:t>1</w:t>
    </w:r>
    <w:r w:rsidRPr="00B13F12">
      <w:rPr>
        <w:rFonts w:cstheme="minorHAnsi"/>
        <w:b/>
        <w:bCs/>
        <w:color w:val="44546A" w:themeColor="text2"/>
        <w:sz w:val="16"/>
        <w:szCs w:val="16"/>
        <w:vertAlign w:val="superscript"/>
      </w:rPr>
      <w:t xml:space="preserve">η </w:t>
    </w:r>
    <w:r w:rsidRPr="00B13F12">
      <w:rPr>
        <w:rFonts w:cstheme="minorHAnsi"/>
        <w:b/>
        <w:bCs/>
        <w:color w:val="44546A" w:themeColor="text2"/>
        <w:sz w:val="16"/>
        <w:szCs w:val="16"/>
      </w:rPr>
      <w:t xml:space="preserve">ΠΡΟΣΚΛΗΣΗ ΠΑΡΕΜΒΑΣΗΣ Π3-77-4.1_Τ.Π. ΤΑΠΤοΚ LEADER </w:t>
    </w:r>
    <w:r w:rsidR="00B13F12" w:rsidRPr="00B13F12">
      <w:rPr>
        <w:rFonts w:cstheme="minorHAnsi"/>
        <w:b/>
        <w:bCs/>
        <w:color w:val="44546A" w:themeColor="text2"/>
        <w:sz w:val="16"/>
        <w:szCs w:val="16"/>
      </w:rPr>
      <w:t>ΑΣΤΕΡΟΥΣΙ</w:t>
    </w:r>
    <w:r w:rsidR="00A14332">
      <w:rPr>
        <w:rFonts w:cstheme="minorHAnsi"/>
        <w:b/>
        <w:bCs/>
        <w:color w:val="44546A" w:themeColor="text2"/>
        <w:sz w:val="16"/>
        <w:szCs w:val="16"/>
      </w:rPr>
      <w:t>Α</w:t>
    </w:r>
    <w:r w:rsidR="00B13F12" w:rsidRPr="00B13F12">
      <w:rPr>
        <w:rFonts w:cstheme="minorHAnsi"/>
        <w:b/>
        <w:bCs/>
        <w:color w:val="44546A" w:themeColor="text2"/>
        <w:sz w:val="16"/>
        <w:szCs w:val="16"/>
      </w:rPr>
      <w:t xml:space="preserve"> ΜΕΣΑΡΑ</w:t>
    </w:r>
    <w:r w:rsidRPr="00B13F12">
      <w:rPr>
        <w:rFonts w:cstheme="minorHAnsi"/>
        <w:b/>
        <w:bCs/>
        <w:color w:val="44546A" w:themeColor="text2"/>
        <w:sz w:val="16"/>
        <w:szCs w:val="16"/>
      </w:rPr>
      <w:t xml:space="preserve"> –</w:t>
    </w:r>
    <w:r w:rsidRPr="00816099">
      <w:rPr>
        <w:rFonts w:cstheme="minorHAnsi"/>
        <w:b/>
        <w:bCs/>
        <w:color w:val="44546A" w:themeColor="text2"/>
        <w:sz w:val="20"/>
        <w:szCs w:val="20"/>
      </w:rPr>
      <w:t xml:space="preserve"> </w:t>
    </w:r>
    <w:r w:rsidRPr="00011B18">
      <w:rPr>
        <w:rFonts w:cstheme="minorHAnsi"/>
        <w:b/>
        <w:bCs/>
        <w:color w:val="44546A" w:themeColor="text2"/>
        <w:sz w:val="16"/>
        <w:szCs w:val="16"/>
      </w:rPr>
      <w:t>Οδηγοί – Βοηθητικά Στοιχεία</w:t>
    </w:r>
  </w:p>
  <w:p w14:paraId="79DD461A" w14:textId="77777777" w:rsidR="00011B18" w:rsidRPr="008E6E23" w:rsidRDefault="00011B18" w:rsidP="00011B18">
    <w:pPr>
      <w:pBdr>
        <w:top w:val="single" w:sz="4" w:space="1" w:color="auto"/>
      </w:pBdr>
      <w:jc w:val="center"/>
    </w:pPr>
    <w:r>
      <w:rPr>
        <w:noProof/>
      </w:rPr>
      <mc:AlternateContent>
        <mc:Choice Requires="wps">
          <w:drawing>
            <wp:anchor distT="45720" distB="45720" distL="114300" distR="114300" simplePos="0" relativeHeight="251659264" behindDoc="0" locked="0" layoutInCell="1" allowOverlap="1" wp14:anchorId="38D750A7" wp14:editId="373DDE3A">
              <wp:simplePos x="0" y="0"/>
              <wp:positionH relativeFrom="rightMargin">
                <wp:align>left</wp:align>
              </wp:positionH>
              <wp:positionV relativeFrom="paragraph">
                <wp:posOffset>151597</wp:posOffset>
              </wp:positionV>
              <wp:extent cx="429895" cy="381635"/>
              <wp:effectExtent l="0" t="0" r="8255" b="0"/>
              <wp:wrapSquare wrapText="bothSides"/>
              <wp:docPr id="116264149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 cy="381635"/>
                      </a:xfrm>
                      <a:prstGeom prst="rect">
                        <a:avLst/>
                      </a:prstGeom>
                      <a:solidFill>
                        <a:srgbClr val="FFFFFF"/>
                      </a:solidFill>
                      <a:ln w="9525">
                        <a:noFill/>
                        <a:miter lim="800000"/>
                        <a:headEnd/>
                        <a:tailEnd/>
                      </a:ln>
                    </wps:spPr>
                    <wps:txbx>
                      <w:txbxContent>
                        <w:p w14:paraId="306F3030" w14:textId="77777777" w:rsidR="00011B18" w:rsidRPr="006E08DF" w:rsidRDefault="00011B18" w:rsidP="00011B18">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D750A7" id="_x0000_t202" coordsize="21600,21600" o:spt="202" path="m,l,21600r21600,l21600,xe">
              <v:stroke joinstyle="miter"/>
              <v:path gradientshapeok="t" o:connecttype="rect"/>
            </v:shapetype>
            <v:shape id="Πλαίσιο κειμένου 2" o:spid="_x0000_s1026" type="#_x0000_t202" style="position:absolute;left:0;text-align:left;margin-left:0;margin-top:11.95pt;width:33.85pt;height:30.05pt;z-index:251659264;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" stroked="f">
              <v:textbox>
                <w:txbxContent>
                  <w:p w14:paraId="306F3030" w14:textId="77777777" w:rsidR="00011B18" w:rsidRPr="006E08DF" w:rsidRDefault="00011B18" w:rsidP="00011B18">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v:textbox>
              <w10:wrap type="square" anchorx="margin"/>
            </v:shape>
          </w:pict>
        </mc:Fallback>
      </mc:AlternateContent>
    </w:r>
    <w:r w:rsidRPr="00516351">
      <w:rPr>
        <w:noProof/>
      </w:rPr>
      <w:drawing>
        <wp:inline distT="0" distB="0" distL="0" distR="0" wp14:anchorId="5B831C74" wp14:editId="4FE76F9F">
          <wp:extent cx="943876" cy="657225"/>
          <wp:effectExtent l="0" t="0" r="8890" b="0"/>
          <wp:docPr id="208570282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442" b="7308"/>
                  <a:stretch/>
                </pic:blipFill>
                <pic:spPr bwMode="auto">
                  <a:xfrm>
                    <a:off x="0" y="0"/>
                    <a:ext cx="965021" cy="671948"/>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516351">
      <w:rPr>
        <w:noProof/>
      </w:rPr>
      <w:drawing>
        <wp:inline distT="0" distB="0" distL="0" distR="0" wp14:anchorId="7CB20CA9" wp14:editId="559CB0CB">
          <wp:extent cx="1108269" cy="544195"/>
          <wp:effectExtent l="0" t="0" r="0" b="8255"/>
          <wp:docPr id="11749970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9210" t="6182" r="10246" b="9197"/>
                  <a:stretch/>
                </pic:blipFill>
                <pic:spPr bwMode="auto">
                  <a:xfrm>
                    <a:off x="0" y="0"/>
                    <a:ext cx="1128658" cy="554206"/>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8E6E23">
      <w:rPr>
        <w:rFonts w:cstheme="minorHAnsi"/>
        <w:b/>
        <w:noProof/>
      </w:rPr>
      <w:t xml:space="preserve">  </w:t>
    </w:r>
    <w:r w:rsidRPr="00516351">
      <w:rPr>
        <w:rFonts w:cstheme="minorHAnsi"/>
        <w:b/>
        <w:noProof/>
      </w:rPr>
      <w:drawing>
        <wp:inline distT="0" distB="0" distL="0" distR="0" wp14:anchorId="77375042" wp14:editId="200EDF20">
          <wp:extent cx="638175" cy="524913"/>
          <wp:effectExtent l="0" t="0" r="0" b="8890"/>
          <wp:docPr id="62147187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8793" cy="533647"/>
                  </a:xfrm>
                  <a:prstGeom prst="rect">
                    <a:avLst/>
                  </a:prstGeom>
                </pic:spPr>
              </pic:pic>
            </a:graphicData>
          </a:graphic>
        </wp:inline>
      </w:drawing>
    </w:r>
    <w:r w:rsidRPr="008E6E23">
      <w:t xml:space="preserve">      </w:t>
    </w:r>
    <w:r w:rsidRPr="00516351">
      <w:rPr>
        <w:noProof/>
      </w:rPr>
      <w:drawing>
        <wp:inline distT="0" distB="0" distL="0" distR="0" wp14:anchorId="75929EDF" wp14:editId="14E5BF76">
          <wp:extent cx="523875" cy="527129"/>
          <wp:effectExtent l="0" t="0" r="0" b="6350"/>
          <wp:docPr id="34490399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34680" cy="538001"/>
                  </a:xfrm>
                  <a:prstGeom prst="rect">
                    <a:avLst/>
                  </a:prstGeom>
                  <a:noFill/>
                  <a:ln>
                    <a:noFill/>
                  </a:ln>
                </pic:spPr>
              </pic:pic>
            </a:graphicData>
          </a:graphic>
        </wp:inline>
      </w:drawing>
    </w:r>
  </w:p>
  <w:p w14:paraId="4201A754" w14:textId="77777777" w:rsidR="00011B18" w:rsidRDefault="00011B18">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C76AA" w14:textId="77777777" w:rsidR="00B13F12" w:rsidRDefault="00B13F1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7836A" w14:textId="77777777" w:rsidR="00011B18" w:rsidRDefault="00011B18" w:rsidP="00011B18">
      <w:pPr>
        <w:spacing w:after="0" w:line="240" w:lineRule="auto"/>
      </w:pPr>
      <w:r>
        <w:separator/>
      </w:r>
    </w:p>
  </w:footnote>
  <w:footnote w:type="continuationSeparator" w:id="0">
    <w:p w14:paraId="561C291C" w14:textId="77777777" w:rsidR="00011B18" w:rsidRDefault="00011B18" w:rsidP="00011B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15ADF" w14:textId="77777777" w:rsidR="00B13F12" w:rsidRDefault="00B13F12">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ADE61" w14:textId="722D3259" w:rsidR="00011B18" w:rsidRPr="00B13F12" w:rsidRDefault="00011B18" w:rsidP="00011B18">
    <w:pPr>
      <w:pStyle w:val="aa"/>
      <w:pBdr>
        <w:bottom w:val="single" w:sz="12" w:space="1" w:color="44546A" w:themeColor="text2"/>
      </w:pBdr>
      <w:rPr>
        <w:b/>
        <w:color w:val="44546A" w:themeColor="text2"/>
        <w:sz w:val="18"/>
        <w:szCs w:val="18"/>
      </w:rPr>
    </w:pPr>
    <w:bookmarkStart w:id="0" w:name="_Hlk200547489"/>
    <w:bookmarkStart w:id="1" w:name="_Hlk200547490"/>
    <w:r w:rsidRPr="00B13F12">
      <w:rPr>
        <w:b/>
        <w:color w:val="44546A" w:themeColor="text2"/>
        <w:sz w:val="18"/>
        <w:szCs w:val="18"/>
      </w:rPr>
      <w:t xml:space="preserve">ΟΤΔ ΑΝΑΠΤΥΞΙΑΚΗΣ ΗΡΑΚΛΕΙΟΥ - ΤΟΠΙΚΟ ΠΡΟΓΡΑΜΜΑ ΤΑΠΤοΚ </w:t>
    </w:r>
    <w:r w:rsidRPr="00B13F12">
      <w:rPr>
        <w:b/>
        <w:color w:val="44546A" w:themeColor="text2"/>
        <w:sz w:val="18"/>
        <w:szCs w:val="18"/>
        <w:lang w:val="en-US"/>
      </w:rPr>
      <w:t>LEADER</w:t>
    </w:r>
    <w:r w:rsidRPr="00B13F12">
      <w:rPr>
        <w:b/>
        <w:color w:val="44546A" w:themeColor="text2"/>
        <w:sz w:val="18"/>
        <w:szCs w:val="18"/>
      </w:rPr>
      <w:t xml:space="preserve"> </w:t>
    </w:r>
    <w:r w:rsidR="00B13F12" w:rsidRPr="00B13F12">
      <w:rPr>
        <w:b/>
        <w:color w:val="44546A" w:themeColor="text2"/>
        <w:sz w:val="18"/>
        <w:szCs w:val="18"/>
      </w:rPr>
      <w:t>ΑΣΤΕΡΟΥΣΙ</w:t>
    </w:r>
    <w:r w:rsidR="00A14332">
      <w:rPr>
        <w:b/>
        <w:color w:val="44546A" w:themeColor="text2"/>
        <w:sz w:val="18"/>
        <w:szCs w:val="18"/>
      </w:rPr>
      <w:t>Α</w:t>
    </w:r>
    <w:r w:rsidR="00B13F12" w:rsidRPr="00B13F12">
      <w:rPr>
        <w:b/>
        <w:color w:val="44546A" w:themeColor="text2"/>
        <w:sz w:val="18"/>
        <w:szCs w:val="18"/>
      </w:rPr>
      <w:t xml:space="preserve"> ΜΕΣΑΡΑ</w:t>
    </w:r>
    <w:r w:rsidRPr="00B13F12">
      <w:rPr>
        <w:b/>
        <w:color w:val="44546A" w:themeColor="text2"/>
        <w:sz w:val="18"/>
        <w:szCs w:val="18"/>
      </w:rPr>
      <w:t xml:space="preserve"> 2023-2027</w:t>
    </w:r>
    <w:bookmarkEnd w:id="0"/>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84157" w14:textId="77777777" w:rsidR="00B13F12" w:rsidRDefault="00B13F12">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E10652"/>
    <w:multiLevelType w:val="hybridMultilevel"/>
    <w:tmpl w:val="C12C67B4"/>
    <w:lvl w:ilvl="0" w:tplc="65CEEF6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77515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B18"/>
    <w:rsid w:val="00002F73"/>
    <w:rsid w:val="00011B18"/>
    <w:rsid w:val="002A05A7"/>
    <w:rsid w:val="00867103"/>
    <w:rsid w:val="00A14332"/>
    <w:rsid w:val="00B13F1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97514"/>
  <w15:chartTrackingRefBased/>
  <w15:docId w15:val="{963879B9-5282-4442-AE71-27B86F738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1B18"/>
    <w:pPr>
      <w:spacing w:after="200" w:line="276" w:lineRule="auto"/>
    </w:pPr>
    <w:rPr>
      <w:rFonts w:eastAsiaTheme="minorEastAsia"/>
      <w:kern w:val="0"/>
      <w:sz w:val="22"/>
      <w:szCs w:val="22"/>
      <w:lang w:eastAsia="el-GR"/>
      <w14:ligatures w14:val="none"/>
    </w:rPr>
  </w:style>
  <w:style w:type="paragraph" w:styleId="1">
    <w:name w:val="heading 1"/>
    <w:basedOn w:val="a"/>
    <w:next w:val="a"/>
    <w:link w:val="1Char"/>
    <w:uiPriority w:val="9"/>
    <w:qFormat/>
    <w:rsid w:val="00011B1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Char"/>
    <w:uiPriority w:val="9"/>
    <w:semiHidden/>
    <w:unhideWhenUsed/>
    <w:qFormat/>
    <w:rsid w:val="00011B1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Char"/>
    <w:uiPriority w:val="9"/>
    <w:semiHidden/>
    <w:unhideWhenUsed/>
    <w:qFormat/>
    <w:rsid w:val="00011B18"/>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Char"/>
    <w:uiPriority w:val="9"/>
    <w:semiHidden/>
    <w:unhideWhenUsed/>
    <w:qFormat/>
    <w:rsid w:val="00011B18"/>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Char"/>
    <w:uiPriority w:val="9"/>
    <w:semiHidden/>
    <w:unhideWhenUsed/>
    <w:qFormat/>
    <w:rsid w:val="00011B18"/>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Char"/>
    <w:uiPriority w:val="9"/>
    <w:semiHidden/>
    <w:unhideWhenUsed/>
    <w:qFormat/>
    <w:rsid w:val="00011B1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011B1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011B1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011B1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11B18"/>
    <w:rPr>
      <w:rFonts w:asciiTheme="majorHAnsi" w:eastAsiaTheme="majorEastAsia" w:hAnsiTheme="majorHAnsi" w:cstheme="majorBidi"/>
      <w:color w:val="2F5496" w:themeColor="accent1" w:themeShade="BF"/>
      <w:sz w:val="40"/>
      <w:szCs w:val="40"/>
    </w:rPr>
  </w:style>
  <w:style w:type="character" w:customStyle="1" w:styleId="2Char">
    <w:name w:val="Επικεφαλίδα 2 Char"/>
    <w:basedOn w:val="a0"/>
    <w:link w:val="2"/>
    <w:uiPriority w:val="9"/>
    <w:semiHidden/>
    <w:rsid w:val="00011B18"/>
    <w:rPr>
      <w:rFonts w:asciiTheme="majorHAnsi" w:eastAsiaTheme="majorEastAsia" w:hAnsiTheme="majorHAnsi" w:cstheme="majorBidi"/>
      <w:color w:val="2F5496" w:themeColor="accent1" w:themeShade="BF"/>
      <w:sz w:val="32"/>
      <w:szCs w:val="32"/>
    </w:rPr>
  </w:style>
  <w:style w:type="character" w:customStyle="1" w:styleId="3Char">
    <w:name w:val="Επικεφαλίδα 3 Char"/>
    <w:basedOn w:val="a0"/>
    <w:link w:val="3"/>
    <w:uiPriority w:val="9"/>
    <w:semiHidden/>
    <w:rsid w:val="00011B18"/>
    <w:rPr>
      <w:rFonts w:eastAsiaTheme="majorEastAsia" w:cstheme="majorBidi"/>
      <w:color w:val="2F5496" w:themeColor="accent1" w:themeShade="BF"/>
      <w:sz w:val="28"/>
      <w:szCs w:val="28"/>
    </w:rPr>
  </w:style>
  <w:style w:type="character" w:customStyle="1" w:styleId="4Char">
    <w:name w:val="Επικεφαλίδα 4 Char"/>
    <w:basedOn w:val="a0"/>
    <w:link w:val="4"/>
    <w:uiPriority w:val="9"/>
    <w:semiHidden/>
    <w:rsid w:val="00011B18"/>
    <w:rPr>
      <w:rFonts w:eastAsiaTheme="majorEastAsia" w:cstheme="majorBidi"/>
      <w:i/>
      <w:iCs/>
      <w:color w:val="2F5496" w:themeColor="accent1" w:themeShade="BF"/>
    </w:rPr>
  </w:style>
  <w:style w:type="character" w:customStyle="1" w:styleId="5Char">
    <w:name w:val="Επικεφαλίδα 5 Char"/>
    <w:basedOn w:val="a0"/>
    <w:link w:val="5"/>
    <w:uiPriority w:val="9"/>
    <w:semiHidden/>
    <w:rsid w:val="00011B18"/>
    <w:rPr>
      <w:rFonts w:eastAsiaTheme="majorEastAsia" w:cstheme="majorBidi"/>
      <w:color w:val="2F5496" w:themeColor="accent1" w:themeShade="BF"/>
    </w:rPr>
  </w:style>
  <w:style w:type="character" w:customStyle="1" w:styleId="6Char">
    <w:name w:val="Επικεφαλίδα 6 Char"/>
    <w:basedOn w:val="a0"/>
    <w:link w:val="6"/>
    <w:uiPriority w:val="9"/>
    <w:semiHidden/>
    <w:rsid w:val="00011B18"/>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011B18"/>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011B18"/>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011B18"/>
    <w:rPr>
      <w:rFonts w:eastAsiaTheme="majorEastAsia" w:cstheme="majorBidi"/>
      <w:color w:val="272727" w:themeColor="text1" w:themeTint="D8"/>
    </w:rPr>
  </w:style>
  <w:style w:type="paragraph" w:styleId="a3">
    <w:name w:val="Title"/>
    <w:basedOn w:val="a"/>
    <w:next w:val="a"/>
    <w:link w:val="Char"/>
    <w:uiPriority w:val="10"/>
    <w:qFormat/>
    <w:rsid w:val="00011B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011B18"/>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011B18"/>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011B18"/>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011B18"/>
    <w:pPr>
      <w:spacing w:before="160"/>
      <w:jc w:val="center"/>
    </w:pPr>
    <w:rPr>
      <w:i/>
      <w:iCs/>
      <w:color w:val="404040" w:themeColor="text1" w:themeTint="BF"/>
    </w:rPr>
  </w:style>
  <w:style w:type="character" w:customStyle="1" w:styleId="Char1">
    <w:name w:val="Απόσπασμα Char"/>
    <w:basedOn w:val="a0"/>
    <w:link w:val="a5"/>
    <w:uiPriority w:val="29"/>
    <w:rsid w:val="00011B18"/>
    <w:rPr>
      <w:i/>
      <w:iCs/>
      <w:color w:val="404040" w:themeColor="text1" w:themeTint="BF"/>
    </w:rPr>
  </w:style>
  <w:style w:type="paragraph" w:styleId="a6">
    <w:name w:val="List Paragraph"/>
    <w:basedOn w:val="a"/>
    <w:link w:val="Char2"/>
    <w:uiPriority w:val="34"/>
    <w:qFormat/>
    <w:rsid w:val="00011B18"/>
    <w:pPr>
      <w:ind w:left="720"/>
      <w:contextualSpacing/>
    </w:pPr>
  </w:style>
  <w:style w:type="character" w:styleId="a7">
    <w:name w:val="Intense Emphasis"/>
    <w:basedOn w:val="a0"/>
    <w:uiPriority w:val="21"/>
    <w:qFormat/>
    <w:rsid w:val="00011B18"/>
    <w:rPr>
      <w:i/>
      <w:iCs/>
      <w:color w:val="2F5496" w:themeColor="accent1" w:themeShade="BF"/>
    </w:rPr>
  </w:style>
  <w:style w:type="paragraph" w:styleId="a8">
    <w:name w:val="Intense Quote"/>
    <w:basedOn w:val="a"/>
    <w:next w:val="a"/>
    <w:link w:val="Char3"/>
    <w:uiPriority w:val="30"/>
    <w:qFormat/>
    <w:rsid w:val="00011B1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3">
    <w:name w:val="Έντονο απόσπ. Char"/>
    <w:basedOn w:val="a0"/>
    <w:link w:val="a8"/>
    <w:uiPriority w:val="30"/>
    <w:rsid w:val="00011B18"/>
    <w:rPr>
      <w:i/>
      <w:iCs/>
      <w:color w:val="2F5496" w:themeColor="accent1" w:themeShade="BF"/>
    </w:rPr>
  </w:style>
  <w:style w:type="character" w:styleId="a9">
    <w:name w:val="Intense Reference"/>
    <w:basedOn w:val="a0"/>
    <w:uiPriority w:val="32"/>
    <w:qFormat/>
    <w:rsid w:val="00011B18"/>
    <w:rPr>
      <w:b/>
      <w:bCs/>
      <w:smallCaps/>
      <w:color w:val="2F5496" w:themeColor="accent1" w:themeShade="BF"/>
      <w:spacing w:val="5"/>
    </w:rPr>
  </w:style>
  <w:style w:type="character" w:customStyle="1" w:styleId="Char2">
    <w:name w:val="Παράγραφος λίστας Char"/>
    <w:link w:val="a6"/>
    <w:uiPriority w:val="34"/>
    <w:locked/>
    <w:rsid w:val="00011B18"/>
  </w:style>
  <w:style w:type="paragraph" w:styleId="aa">
    <w:name w:val="header"/>
    <w:basedOn w:val="a"/>
    <w:link w:val="Char4"/>
    <w:uiPriority w:val="99"/>
    <w:unhideWhenUsed/>
    <w:rsid w:val="00011B18"/>
    <w:pPr>
      <w:tabs>
        <w:tab w:val="center" w:pos="4153"/>
        <w:tab w:val="right" w:pos="8306"/>
      </w:tabs>
      <w:spacing w:after="0" w:line="240" w:lineRule="auto"/>
    </w:pPr>
  </w:style>
  <w:style w:type="character" w:customStyle="1" w:styleId="Char4">
    <w:name w:val="Κεφαλίδα Char"/>
    <w:basedOn w:val="a0"/>
    <w:link w:val="aa"/>
    <w:uiPriority w:val="99"/>
    <w:rsid w:val="00011B18"/>
    <w:rPr>
      <w:rFonts w:eastAsiaTheme="minorEastAsia"/>
      <w:kern w:val="0"/>
      <w:sz w:val="22"/>
      <w:szCs w:val="22"/>
      <w:lang w:eastAsia="el-GR"/>
      <w14:ligatures w14:val="none"/>
    </w:rPr>
  </w:style>
  <w:style w:type="paragraph" w:styleId="ab">
    <w:name w:val="footer"/>
    <w:basedOn w:val="a"/>
    <w:link w:val="Char5"/>
    <w:uiPriority w:val="99"/>
    <w:unhideWhenUsed/>
    <w:rsid w:val="00011B18"/>
    <w:pPr>
      <w:tabs>
        <w:tab w:val="center" w:pos="4153"/>
        <w:tab w:val="right" w:pos="8306"/>
      </w:tabs>
      <w:spacing w:after="0" w:line="240" w:lineRule="auto"/>
    </w:pPr>
  </w:style>
  <w:style w:type="character" w:customStyle="1" w:styleId="Char5">
    <w:name w:val="Υποσέλιδο Char"/>
    <w:basedOn w:val="a0"/>
    <w:link w:val="ab"/>
    <w:uiPriority w:val="99"/>
    <w:rsid w:val="00011B18"/>
    <w:rPr>
      <w:rFonts w:eastAsiaTheme="minorEastAsia"/>
      <w:kern w:val="0"/>
      <w:sz w:val="22"/>
      <w:szCs w:val="22"/>
      <w:lang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tif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2434</Words>
  <Characters>13147</Characters>
  <Application>Microsoft Office Word</Application>
  <DocSecurity>0</DocSecurity>
  <Lines>109</Lines>
  <Paragraphs>31</Paragraphs>
  <ScaleCrop>false</ScaleCrop>
  <Company/>
  <LinksUpToDate>false</LinksUpToDate>
  <CharactersWithSpaces>15550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ΑΜΑΛΙΑ ΤΑΒΛΑΔΩΡΑΚΗ</dc:creator>
  <cp:keywords/>
  <dc:description/>
  <cp:lastModifiedBy>ΑΜΑΛΙΑ ΤΑΒΛΑΔΩΡΑΚΗ</cp:lastModifiedBy>
  <cp:revision>3</cp:revision>
  <dcterms:created xsi:type="dcterms:W3CDTF">2025-06-11T12:21:00Z</dcterms:created>
  <dcterms:modified xsi:type="dcterms:W3CDTF">2025-08-13T10:38:00Z</dcterms:modified>
</cp:coreProperties>
</file>